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5"/>
        <w:gridCol w:w="1331"/>
        <w:gridCol w:w="7284"/>
      </w:tblGrid>
      <w:tr w:rsidR="004F4FE5" w:rsidTr="00953420">
        <w:tc>
          <w:tcPr>
            <w:tcW w:w="9350" w:type="dxa"/>
            <w:gridSpan w:val="3"/>
            <w:vAlign w:val="center"/>
          </w:tcPr>
          <w:p w:rsidR="004F4FE5" w:rsidRPr="00953420" w:rsidRDefault="004F4FE5" w:rsidP="004F4FE5">
            <w:pPr>
              <w:jc w:val="center"/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Development Bank Loans to Governments</w:t>
            </w:r>
          </w:p>
        </w:tc>
      </w:tr>
      <w:tr w:rsidR="00F65A6E" w:rsidTr="00953420">
        <w:tc>
          <w:tcPr>
            <w:tcW w:w="735" w:type="dxa"/>
          </w:tcPr>
          <w:p w:rsidR="00F65A6E" w:rsidRPr="00953420" w:rsidRDefault="00F65A6E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Place</w:t>
            </w:r>
          </w:p>
        </w:tc>
        <w:tc>
          <w:tcPr>
            <w:tcW w:w="1331" w:type="dxa"/>
          </w:tcPr>
          <w:p w:rsidR="00F65A6E" w:rsidRPr="00953420" w:rsidRDefault="00F65A6E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Entity</w:t>
            </w:r>
          </w:p>
        </w:tc>
        <w:tc>
          <w:tcPr>
            <w:tcW w:w="7284" w:type="dxa"/>
          </w:tcPr>
          <w:p w:rsidR="00F65A6E" w:rsidRPr="00953420" w:rsidRDefault="00F65A6E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Beneficial ownership procedures/disclosure</w:t>
            </w:r>
          </w:p>
        </w:tc>
      </w:tr>
      <w:tr w:rsidR="00F65A6E" w:rsidTr="00953420">
        <w:tc>
          <w:tcPr>
            <w:tcW w:w="735" w:type="dxa"/>
            <w:vAlign w:val="center"/>
          </w:tcPr>
          <w:p w:rsidR="00F65A6E" w:rsidRPr="00953420" w:rsidRDefault="00F65A6E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1</w:t>
            </w:r>
          </w:p>
        </w:tc>
        <w:tc>
          <w:tcPr>
            <w:tcW w:w="1331" w:type="dxa"/>
            <w:vAlign w:val="center"/>
          </w:tcPr>
          <w:p w:rsidR="00F65A6E" w:rsidRPr="00953420" w:rsidRDefault="00F65A6E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World Bank</w:t>
            </w:r>
          </w:p>
        </w:tc>
        <w:tc>
          <w:tcPr>
            <w:tcW w:w="7284" w:type="dxa"/>
            <w:vAlign w:val="center"/>
          </w:tcPr>
          <w:p w:rsidR="00F65A6E" w:rsidRPr="00953420" w:rsidRDefault="00F65A6E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 xml:space="preserve">Pilot program for ’18- ’20 where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data for winning bidder on 40% of WB-funded procurements to be collected and published;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threshold 25% </w:t>
            </w:r>
          </w:p>
        </w:tc>
      </w:tr>
      <w:tr w:rsidR="00F65A6E" w:rsidTr="00953420">
        <w:tc>
          <w:tcPr>
            <w:tcW w:w="735" w:type="dxa"/>
            <w:vAlign w:val="center"/>
          </w:tcPr>
          <w:p w:rsidR="00F65A6E" w:rsidRPr="00953420" w:rsidRDefault="00F65A6E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2</w:t>
            </w:r>
          </w:p>
        </w:tc>
        <w:tc>
          <w:tcPr>
            <w:tcW w:w="1331" w:type="dxa"/>
            <w:vAlign w:val="center"/>
          </w:tcPr>
          <w:p w:rsidR="00F65A6E" w:rsidRPr="00953420" w:rsidRDefault="00F65A6E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African Dev</w:t>
            </w:r>
            <w:r w:rsidR="004F4FE5" w:rsidRPr="00953420">
              <w:rPr>
                <w:sz w:val="20"/>
                <w:szCs w:val="20"/>
              </w:rPr>
              <w:t>.</w:t>
            </w:r>
            <w:r w:rsidRPr="00953420">
              <w:rPr>
                <w:sz w:val="20"/>
                <w:szCs w:val="20"/>
              </w:rPr>
              <w:t xml:space="preserve"> Bank</w:t>
            </w:r>
          </w:p>
        </w:tc>
        <w:tc>
          <w:tcPr>
            <w:tcW w:w="7284" w:type="dxa"/>
            <w:vAlign w:val="center"/>
          </w:tcPr>
          <w:p w:rsidR="00F65A6E" w:rsidRPr="00953420" w:rsidRDefault="00F65A6E" w:rsidP="004F4FE5">
            <w:pPr>
              <w:tabs>
                <w:tab w:val="left" w:pos="3403"/>
              </w:tabs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 xml:space="preserve">Guidelines to be published requiring successful bidder on AfDB contracts on a to-be-determined amount to disclose publicly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data;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threshold 10%</w:t>
            </w:r>
          </w:p>
        </w:tc>
      </w:tr>
      <w:tr w:rsidR="0002754B" w:rsidTr="00953420">
        <w:tc>
          <w:tcPr>
            <w:tcW w:w="735" w:type="dxa"/>
            <w:vMerge w:val="restart"/>
            <w:vAlign w:val="center"/>
          </w:tcPr>
          <w:p w:rsidR="0002754B" w:rsidRDefault="0002754B" w:rsidP="0002754B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3</w:t>
            </w:r>
          </w:p>
          <w:p w:rsidR="0002754B" w:rsidRPr="00953420" w:rsidRDefault="0002754B" w:rsidP="000275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(tie)</w:t>
            </w:r>
          </w:p>
        </w:tc>
        <w:tc>
          <w:tcPr>
            <w:tcW w:w="1331" w:type="dxa"/>
            <w:vAlign w:val="center"/>
          </w:tcPr>
          <w:p w:rsidR="0002754B" w:rsidRPr="00953420" w:rsidRDefault="0002754B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Asian Dev Bank</w:t>
            </w:r>
          </w:p>
        </w:tc>
        <w:tc>
          <w:tcPr>
            <w:tcW w:w="7284" w:type="dxa"/>
            <w:vAlign w:val="center"/>
          </w:tcPr>
          <w:p w:rsidR="0002754B" w:rsidRPr="00953420" w:rsidRDefault="0002754B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 xml:space="preserve">No indication bank determines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of firms winning ADB-financed contracts</w:t>
            </w:r>
          </w:p>
        </w:tc>
      </w:tr>
      <w:tr w:rsidR="0002754B" w:rsidTr="00953420">
        <w:tc>
          <w:tcPr>
            <w:tcW w:w="735" w:type="dxa"/>
            <w:vMerge/>
            <w:tcBorders>
              <w:bottom w:val="single" w:sz="36" w:space="0" w:color="auto"/>
            </w:tcBorders>
            <w:vAlign w:val="center"/>
          </w:tcPr>
          <w:p w:rsidR="0002754B" w:rsidRPr="00953420" w:rsidRDefault="0002754B" w:rsidP="004F4FE5">
            <w:pPr>
              <w:rPr>
                <w:sz w:val="20"/>
                <w:szCs w:val="20"/>
              </w:rPr>
            </w:pPr>
          </w:p>
        </w:tc>
        <w:tc>
          <w:tcPr>
            <w:tcW w:w="1331" w:type="dxa"/>
            <w:tcBorders>
              <w:bottom w:val="single" w:sz="36" w:space="0" w:color="auto"/>
            </w:tcBorders>
            <w:vAlign w:val="center"/>
          </w:tcPr>
          <w:p w:rsidR="0002754B" w:rsidRPr="00953420" w:rsidRDefault="0002754B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Inter-A Dev. Bank</w:t>
            </w:r>
          </w:p>
        </w:tc>
        <w:tc>
          <w:tcPr>
            <w:tcW w:w="7284" w:type="dxa"/>
            <w:tcBorders>
              <w:bottom w:val="single" w:sz="36" w:space="0" w:color="auto"/>
            </w:tcBorders>
            <w:vAlign w:val="center"/>
          </w:tcPr>
          <w:p w:rsidR="0002754B" w:rsidRPr="00953420" w:rsidRDefault="0002754B" w:rsidP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 xml:space="preserve">No indication bank determines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of firms winning IDB-financed contracts</w:t>
            </w:r>
          </w:p>
        </w:tc>
      </w:tr>
      <w:tr w:rsidR="004F4FE5" w:rsidTr="00953420">
        <w:tc>
          <w:tcPr>
            <w:tcW w:w="9350" w:type="dxa"/>
            <w:gridSpan w:val="3"/>
            <w:tcBorders>
              <w:top w:val="single" w:sz="36" w:space="0" w:color="auto"/>
            </w:tcBorders>
            <w:vAlign w:val="center"/>
          </w:tcPr>
          <w:p w:rsidR="004F4FE5" w:rsidRPr="00953420" w:rsidRDefault="004F4FE5" w:rsidP="004F4FE5">
            <w:pPr>
              <w:jc w:val="center"/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Development Bank Loans to Private Companies</w:t>
            </w:r>
          </w:p>
        </w:tc>
      </w:tr>
      <w:tr w:rsidR="00F65A6E" w:rsidTr="0002754B">
        <w:tc>
          <w:tcPr>
            <w:tcW w:w="735" w:type="dxa"/>
            <w:vAlign w:val="center"/>
          </w:tcPr>
          <w:p w:rsidR="00F65A6E" w:rsidRPr="00953420" w:rsidRDefault="004F4FE5" w:rsidP="0002754B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1</w:t>
            </w:r>
          </w:p>
        </w:tc>
        <w:tc>
          <w:tcPr>
            <w:tcW w:w="1331" w:type="dxa"/>
          </w:tcPr>
          <w:p w:rsidR="00F65A6E" w:rsidRPr="00953420" w:rsidRDefault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Int’l Finance Corp (WB)</w:t>
            </w:r>
          </w:p>
        </w:tc>
        <w:tc>
          <w:tcPr>
            <w:tcW w:w="7284" w:type="dxa"/>
          </w:tcPr>
          <w:p w:rsidR="00F65A6E" w:rsidRPr="00953420" w:rsidRDefault="004F4FE5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 xml:space="preserve">Staff collects data on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of borrowers; </w:t>
            </w:r>
            <w:r w:rsidR="00E42B7F" w:rsidRPr="00953420">
              <w:rPr>
                <w:sz w:val="20"/>
                <w:szCs w:val="20"/>
              </w:rPr>
              <w:t>occasional</w:t>
            </w:r>
            <w:r w:rsidRPr="00953420">
              <w:rPr>
                <w:sz w:val="20"/>
                <w:szCs w:val="20"/>
              </w:rPr>
              <w:t xml:space="preserve"> public disclosure</w:t>
            </w:r>
            <w:r w:rsidR="00E42B7F" w:rsidRPr="00953420">
              <w:rPr>
                <w:sz w:val="20"/>
                <w:szCs w:val="20"/>
              </w:rPr>
              <w:t xml:space="preserve"> of some </w:t>
            </w:r>
            <w:proofErr w:type="spellStart"/>
            <w:r w:rsidR="00E42B7F" w:rsidRPr="00953420">
              <w:rPr>
                <w:sz w:val="20"/>
                <w:szCs w:val="20"/>
              </w:rPr>
              <w:t>b.o.</w:t>
            </w:r>
            <w:proofErr w:type="spellEnd"/>
            <w:r w:rsidR="00E42B7F" w:rsidRPr="00953420">
              <w:rPr>
                <w:sz w:val="20"/>
                <w:szCs w:val="20"/>
              </w:rPr>
              <w:t xml:space="preserve"> information</w:t>
            </w:r>
            <w:r w:rsidRPr="00953420">
              <w:rPr>
                <w:sz w:val="20"/>
                <w:szCs w:val="20"/>
              </w:rPr>
              <w:t xml:space="preserve">;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threshold 5%</w:t>
            </w:r>
          </w:p>
        </w:tc>
      </w:tr>
      <w:tr w:rsidR="0002754B" w:rsidTr="0002754B">
        <w:tc>
          <w:tcPr>
            <w:tcW w:w="735" w:type="dxa"/>
            <w:vMerge w:val="restart"/>
            <w:vAlign w:val="center"/>
          </w:tcPr>
          <w:p w:rsidR="0002754B" w:rsidRPr="00953420" w:rsidRDefault="0002754B" w:rsidP="0002754B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(tie)</w:t>
            </w:r>
          </w:p>
          <w:p w:rsidR="0002754B" w:rsidRPr="00953420" w:rsidRDefault="0002754B" w:rsidP="0002754B">
            <w:pPr>
              <w:rPr>
                <w:sz w:val="20"/>
                <w:szCs w:val="20"/>
              </w:rPr>
            </w:pPr>
          </w:p>
        </w:tc>
        <w:tc>
          <w:tcPr>
            <w:tcW w:w="1331" w:type="dxa"/>
          </w:tcPr>
          <w:p w:rsidR="0002754B" w:rsidRPr="00953420" w:rsidRDefault="000275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European Bank Recon</w:t>
            </w:r>
          </w:p>
        </w:tc>
        <w:tc>
          <w:tcPr>
            <w:tcW w:w="7284" w:type="dxa"/>
            <w:vAlign w:val="center"/>
          </w:tcPr>
          <w:p w:rsidR="0002754B" w:rsidRPr="00953420" w:rsidRDefault="0002754B" w:rsidP="009534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Bank will not lend without knowing who is </w:t>
            </w:r>
            <w:proofErr w:type="spellStart"/>
            <w:r>
              <w:rPr>
                <w:sz w:val="20"/>
                <w:szCs w:val="20"/>
              </w:rPr>
              <w:t>b.o.</w:t>
            </w:r>
            <w:proofErr w:type="spellEnd"/>
            <w:r>
              <w:rPr>
                <w:sz w:val="20"/>
                <w:szCs w:val="20"/>
              </w:rPr>
              <w:t xml:space="preserve">; </w:t>
            </w:r>
            <w:proofErr w:type="spellStart"/>
            <w:r>
              <w:rPr>
                <w:sz w:val="20"/>
                <w:szCs w:val="20"/>
              </w:rPr>
              <w:t>b.o.</w:t>
            </w:r>
            <w:proofErr w:type="spellEnd"/>
            <w:r>
              <w:rPr>
                <w:sz w:val="20"/>
                <w:szCs w:val="20"/>
              </w:rPr>
              <w:t xml:space="preserve"> “not necessarily” published </w:t>
            </w:r>
          </w:p>
        </w:tc>
      </w:tr>
      <w:tr w:rsidR="0002754B" w:rsidTr="0002754B">
        <w:tc>
          <w:tcPr>
            <w:tcW w:w="735" w:type="dxa"/>
            <w:vMerge/>
            <w:vAlign w:val="center"/>
          </w:tcPr>
          <w:p w:rsidR="0002754B" w:rsidRPr="00953420" w:rsidRDefault="0002754B" w:rsidP="0002754B">
            <w:pPr>
              <w:rPr>
                <w:sz w:val="20"/>
                <w:szCs w:val="20"/>
              </w:rPr>
            </w:pPr>
          </w:p>
        </w:tc>
        <w:tc>
          <w:tcPr>
            <w:tcW w:w="1331" w:type="dxa"/>
          </w:tcPr>
          <w:p w:rsidR="0002754B" w:rsidRPr="00953420" w:rsidRDefault="0002754B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Inter-</w:t>
            </w:r>
            <w:proofErr w:type="spellStart"/>
            <w:r w:rsidRPr="00953420">
              <w:rPr>
                <w:sz w:val="20"/>
                <w:szCs w:val="20"/>
              </w:rPr>
              <w:t>Am’er</w:t>
            </w:r>
            <w:proofErr w:type="spellEnd"/>
            <w:r w:rsidRPr="00953420">
              <w:rPr>
                <w:sz w:val="20"/>
                <w:szCs w:val="20"/>
              </w:rPr>
              <w:t xml:space="preserve"> Inv. Corp.</w:t>
            </w:r>
          </w:p>
        </w:tc>
        <w:tc>
          <w:tcPr>
            <w:tcW w:w="7284" w:type="dxa"/>
            <w:vAlign w:val="center"/>
          </w:tcPr>
          <w:p w:rsidR="0002754B" w:rsidRPr="00953420" w:rsidRDefault="0002754B" w:rsidP="00953420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 xml:space="preserve">Staff collects data on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of borrowers; no public disclosure; </w:t>
            </w:r>
            <w:proofErr w:type="spellStart"/>
            <w:r w:rsidRPr="00953420">
              <w:rPr>
                <w:sz w:val="20"/>
                <w:szCs w:val="20"/>
              </w:rPr>
              <w:t>b.o.</w:t>
            </w:r>
            <w:proofErr w:type="spellEnd"/>
            <w:r w:rsidRPr="00953420">
              <w:rPr>
                <w:sz w:val="20"/>
                <w:szCs w:val="20"/>
              </w:rPr>
              <w:t xml:space="preserve"> threshold 5%</w:t>
            </w:r>
          </w:p>
        </w:tc>
      </w:tr>
      <w:tr w:rsidR="0002754B" w:rsidTr="00CA4971">
        <w:tc>
          <w:tcPr>
            <w:tcW w:w="735" w:type="dxa"/>
            <w:vMerge/>
          </w:tcPr>
          <w:p w:rsidR="0002754B" w:rsidRPr="00953420" w:rsidRDefault="0002754B">
            <w:pPr>
              <w:rPr>
                <w:sz w:val="20"/>
                <w:szCs w:val="20"/>
              </w:rPr>
            </w:pPr>
            <w:bookmarkStart w:id="0" w:name="_GoBack" w:colFirst="2" w:colLast="2"/>
          </w:p>
        </w:tc>
        <w:tc>
          <w:tcPr>
            <w:tcW w:w="1331" w:type="dxa"/>
          </w:tcPr>
          <w:p w:rsidR="0002754B" w:rsidRPr="00953420" w:rsidRDefault="0002754B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>Asian Dev Bank</w:t>
            </w:r>
          </w:p>
        </w:tc>
        <w:tc>
          <w:tcPr>
            <w:tcW w:w="7284" w:type="dxa"/>
            <w:vAlign w:val="center"/>
          </w:tcPr>
          <w:p w:rsidR="0002754B" w:rsidRPr="00953420" w:rsidRDefault="0002754B" w:rsidP="00CA4971">
            <w:pPr>
              <w:rPr>
                <w:sz w:val="20"/>
                <w:szCs w:val="20"/>
              </w:rPr>
            </w:pPr>
            <w:r w:rsidRPr="00953420">
              <w:rPr>
                <w:sz w:val="20"/>
                <w:szCs w:val="20"/>
              </w:rPr>
              <w:t xml:space="preserve">Staff identifies all beneficial owners; board informed if beneficial owners not identified </w:t>
            </w:r>
          </w:p>
        </w:tc>
      </w:tr>
    </w:tbl>
    <w:bookmarkEnd w:id="0"/>
    <w:p w:rsidR="00953420" w:rsidRDefault="00953420" w:rsidP="00953420">
      <w:r>
        <w:t>Source: U.S. Treasury Department, Report to Congress on Beneficial Ownership Practices at the Multilateral Development Banks, August 2017</w:t>
      </w:r>
      <w:r w:rsidRPr="00953420">
        <w:rPr>
          <w:sz w:val="16"/>
          <w:szCs w:val="16"/>
        </w:rPr>
        <w:t xml:space="preserve">, </w:t>
      </w:r>
      <w:hyperlink r:id="rId4" w:history="1">
        <w:r w:rsidRPr="00953420">
          <w:rPr>
            <w:rStyle w:val="Hyperlink"/>
            <w:sz w:val="16"/>
            <w:szCs w:val="16"/>
          </w:rPr>
          <w:t>https://www.treasury.gov/resource-center/international/development-banks/Documents/Report_to_Congress_on_MDB_Beneficial_Ownership_Practices_August_2017.pdf</w:t>
        </w:r>
      </w:hyperlink>
    </w:p>
    <w:p w:rsidR="00953420" w:rsidRDefault="00953420"/>
    <w:sectPr w:rsidR="009534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665"/>
    <w:rsid w:val="0002754B"/>
    <w:rsid w:val="004F4FE5"/>
    <w:rsid w:val="00530025"/>
    <w:rsid w:val="0063513E"/>
    <w:rsid w:val="008839C7"/>
    <w:rsid w:val="00953420"/>
    <w:rsid w:val="009E0E25"/>
    <w:rsid w:val="00BA08C1"/>
    <w:rsid w:val="00C31665"/>
    <w:rsid w:val="00CA4971"/>
    <w:rsid w:val="00E42B7F"/>
    <w:rsid w:val="00E7527F"/>
    <w:rsid w:val="00F6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26BC1"/>
  <w15:chartTrackingRefBased/>
  <w15:docId w15:val="{577B59CC-013A-4757-9C47-8EE53E883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513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513E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635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reasury.gov/resource-center/international/development-banks/Documents/Report_to_Congress_on_MDB_Beneficial_Ownership_Practices_August_2017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</dc:creator>
  <cp:keywords/>
  <dc:description/>
  <cp:lastModifiedBy>Rick</cp:lastModifiedBy>
  <cp:revision>2</cp:revision>
  <cp:lastPrinted>2018-01-31T15:33:00Z</cp:lastPrinted>
  <dcterms:created xsi:type="dcterms:W3CDTF">2018-01-31T15:57:00Z</dcterms:created>
  <dcterms:modified xsi:type="dcterms:W3CDTF">2018-01-31T15:57:00Z</dcterms:modified>
</cp:coreProperties>
</file>